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《上海海事局信用管理办法》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海事信用信息管理办法》（海政法〔2017〕202号）实施以来，对推动加强海事信用管理，推动联合激励联合惩戒起到了积极的作用。2022年中共中央办公厅和国务院办公厅联合发布了《关于推进社会信用体系建设高质量发展促进形成新发展格局的意见》（2022年第11号），对完善的社会信用体系提出了更高的要求，有必要根据上海海事局辖区实际情况制定信用信息管理办法，为优化营商环境创造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《上海海事局信用管理办法》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确定了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守信联合激励名单（以下简称“红名单”）、失信联合惩戒名单（以下简称“黑名单”）和重点关注对象名单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认定条件和程序，并确定了相应的激励措施和惩戒方式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）“红名单”的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信用主体自愿作出信用承诺，并符合下列条件之一的，可以按照便利原则向上海海事局、分支海事局政务中心提出申请：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获得交通运输部评定的诚信典型；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获评交通运输部海事局“安全诚信公司”“安全诚信船舶”或“安全诚信船长”；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服务地方航运经济和交通发展有显著成效的；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在全国海员技能比武等海事竞赛中获奖的单位和个人；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其他联合激励认定的诚信典型。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）重点关注对象名单的认定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信用主体存在下列行为之一的，经上海海事局认定，列入重点关注对象名单：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拒不遵守海事管理机构发布的水上交通组织和管制要求；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拒不服从应急搜救调度指挥；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在船员招生、培训、服务、外派、体检等活动中损害船员合法权益；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违反海事信用告知承诺；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因存在影响海事廉洁执法的行为被海事管理机构约谈。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）“黑名单”的认定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信用主体符合下列条件之一的，经上海海事局认定，列入“黑名单”：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实施交通运输部认定的严重失信行为；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实施交通运输部海事局认定的严重失信行为；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实施上海海事局公布的严重失信行为；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实施其他联合惩戒认定的严重失信行为。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对列入“红名单”的信用主体，海事管理机构可采取下列激励措施：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按照法定最低抽查比例和频次实施行政检查；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优先安排交通组织；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在行政审批时，优先提供“绿色通道”“缩短办结期限”“证明事项告知承诺”“不停航办证”等便利化措施；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推荐评选上海海事局诚信公司、诚信船舶、诚信个人等荣誉称号；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优先适用海事管理机构推行的其他便利举措；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优先推荐参评海事相关荣誉称号或其他奖励。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）行政性约束和惩戒措施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对列入“黑名单”的信用主体，海事管理机构可依法采取下列行政性约束和惩戒措施：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依据法律、行政法规的规定实施限制进入相关行业、获得相关荣誉称号、取得相关任职资格等措施；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对失信主体所有、经营和管理的船舶实施船舶现场监督检查、安全检查等行政检查不受窗口期限制；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提高检查频次，航运公司、船员服务机构、培训机构、体检机构每半年至少检查一次；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从严实施行政处罚，不再给予“学法销分”“学法减罚”等措施；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限制适用“绿色通道”“缩短办结期限”“证明事项告知承诺”“不停航办证”等便利化措施；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通过交通运输主管部门等相关单位采取联合惩戒机制；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上海海事局公布的其他惩戒措施。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关于联合奖惩机制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上海海事局与交通运输主管部门、长三角区域相关省、市有关部门等相关单位建立联合奖惩机制，对守信主体实施联合激励，对失信主体实施联合惩戒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；也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可以根据水上交通安全信息共享共治的要求，将“黑名单”和重点关注对象名单信息推送给交通运输主管部门、市场监督、金融监管、港航企业等部门和单位，实施市场性约束和惩戒。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）异议申诉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为保障当事人的权益，设置了异议申诉程序。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“红名单”和“黑名单”将通过上海海事局门户网站进行公示，公示期为10个工作日。当事人或利害关系人在公示期内对信用名单信息有异议的，有权向初步认定单位的政务中心提出异议申请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信用修复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为督促当事人尽快整改，履行法定义务，设置了信用修复程序。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列入“黑名单”的信用主体自被赋予之日起满6个月，且已履行相关义务，完成整改要求，并作出信用承诺的，可向上海海事局政务中心提出信用修复申请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38685D"/>
    <w:rsid w:val="11224C88"/>
    <w:rsid w:val="1EC4285A"/>
    <w:rsid w:val="30854856"/>
    <w:rsid w:val="506D30C2"/>
    <w:rsid w:val="53691AC8"/>
    <w:rsid w:val="588F16CB"/>
    <w:rsid w:val="68310535"/>
    <w:rsid w:val="711C0290"/>
    <w:rsid w:val="FFF5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471" w:firstLineChars="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outlineLvl w:val="9"/>
    </w:p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spacing w:before="80" w:beforeLines="0" w:after="80" w:afterLines="0" w:line="360" w:lineRule="auto"/>
      <w:ind w:firstLine="471" w:firstLineChars="0"/>
      <w:jc w:val="left"/>
      <w:outlineLvl w:val="9"/>
    </w:pPr>
    <w:rPr>
      <w:rFonts w:ascii="Calibri" w:hAnsi="Calibri" w:eastAsia="仿宋_GB2312" w:cs="Times New Roman"/>
      <w:b/>
      <w:kern w:val="2"/>
      <w:sz w:val="30"/>
      <w:szCs w:val="24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372" w:lineRule="auto"/>
      <w:ind w:firstLine="471" w:firstLineChars="0"/>
      <w:jc w:val="both"/>
      <w:outlineLvl w:val="9"/>
    </w:pPr>
    <w:rPr>
      <w:rFonts w:ascii="Arial" w:hAnsi="Arial" w:eastAsia="楷体_GB2312" w:cs="Times New Roman"/>
      <w:b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uiPriority w:val="0"/>
    <w:pPr>
      <w:widowControl w:val="0"/>
      <w:adjustRightInd w:val="0"/>
      <w:snapToGrid w:val="0"/>
      <w:spacing w:line="240" w:lineRule="atLeast"/>
      <w:ind w:hanging="181" w:hangingChars="150"/>
      <w:jc w:val="both"/>
    </w:pPr>
    <w:rPr>
      <w:rFonts w:ascii="Times New Roman" w:hAnsi="Times New Roman" w:eastAsia="楷体_GB2312" w:cs="Arial"/>
      <w:kern w:val="18"/>
      <w:sz w:val="18"/>
      <w:szCs w:val="18"/>
    </w:rPr>
  </w:style>
  <w:style w:type="character" w:styleId="9">
    <w:name w:val="footnote reference"/>
    <w:qFormat/>
    <w:uiPriority w:val="0"/>
    <w:rPr>
      <w:rFonts w:ascii="Times New Roman" w:hAnsi="Times New Roman" w:eastAsia="宋体" w:cs="Times New Roman"/>
      <w:kern w:val="2"/>
      <w:sz w:val="18"/>
      <w:szCs w:val="24"/>
      <w:vertAlign w:val="superscript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1662</Characters>
  <Lines>0</Lines>
  <Paragraphs>0</Paragraphs>
  <TotalTime>96</TotalTime>
  <ScaleCrop>false</ScaleCrop>
  <LinksUpToDate>false</LinksUpToDate>
  <CharactersWithSpaces>1662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2024-08-14T13:14:00Z</dcterms:created>
  <dc:creator>sunpeng</dc:creator>
  <cp:lastModifiedBy>kylin</cp:lastModifiedBy>
  <dcterms:modified xsi:type="dcterms:W3CDTF">2024-09-29T11:28:01Z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A631CE472CBB4D36BA2B9F0C33350E28_12</vt:lpwstr>
  </property>
</Properties>
</file>